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1854AD">
        <w:rPr>
          <w:rFonts w:ascii="Times New Roman" w:hAnsi="Times New Roman"/>
        </w:rPr>
        <w:t>AMATÖR SPORA DESTEK</w:t>
      </w:r>
      <w:r w:rsidR="007E2567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67"/>
        <w:gridCol w:w="2128"/>
        <w:gridCol w:w="5285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3A197E" w:rsidP="00CA6AC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 w:rsidR="00CA6ACB">
              <w:rPr>
                <w:b/>
              </w:rPr>
              <w:t>12.10.2015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5F5696" w:rsidRPr="003C59BB" w:rsidRDefault="007E2567" w:rsidP="001854AD">
            <w:pPr>
              <w:jc w:val="both"/>
              <w:rPr>
                <w:b/>
              </w:rPr>
            </w:pPr>
            <w:r w:rsidRPr="007E2567">
              <w:rPr>
                <w:b/>
              </w:rPr>
              <w:t xml:space="preserve">KONU: </w:t>
            </w:r>
            <w:r w:rsidR="00CA6ACB">
              <w:rPr>
                <w:b/>
              </w:rPr>
              <w:t xml:space="preserve">Mersin İli, </w:t>
            </w:r>
            <w:r w:rsidR="001854AD">
              <w:rPr>
                <w:b/>
              </w:rPr>
              <w:t>Yenişehir</w:t>
            </w:r>
            <w:r w:rsidRPr="007E2567">
              <w:rPr>
                <w:b/>
              </w:rPr>
              <w:t xml:space="preserve"> İlçesi, </w:t>
            </w:r>
            <w:proofErr w:type="spellStart"/>
            <w:r w:rsidR="001854AD">
              <w:rPr>
                <w:b/>
              </w:rPr>
              <w:t>Kocavilayet</w:t>
            </w:r>
            <w:proofErr w:type="spellEnd"/>
            <w:r w:rsidR="001854AD">
              <w:rPr>
                <w:b/>
              </w:rPr>
              <w:t xml:space="preserve"> Mahallesi124,</w:t>
            </w:r>
            <w:proofErr w:type="gramStart"/>
            <w:r w:rsidR="001854AD">
              <w:rPr>
                <w:b/>
              </w:rPr>
              <w:t>125,588,602,604</w:t>
            </w:r>
            <w:proofErr w:type="gramEnd"/>
            <w:r w:rsidR="001854AD">
              <w:rPr>
                <w:b/>
              </w:rPr>
              <w:t xml:space="preserve"> ve 1373 </w:t>
            </w:r>
            <w:proofErr w:type="spellStart"/>
            <w:r w:rsidR="001854AD">
              <w:rPr>
                <w:b/>
              </w:rPr>
              <w:t>nolu</w:t>
            </w:r>
            <w:proofErr w:type="spellEnd"/>
            <w:r w:rsidRPr="007E2567">
              <w:rPr>
                <w:b/>
              </w:rPr>
              <w:t xml:space="preserve"> parsel</w:t>
            </w:r>
            <w:r w:rsidR="001854AD">
              <w:rPr>
                <w:b/>
              </w:rPr>
              <w:t xml:space="preserve">leri kapsayan alana </w:t>
            </w:r>
            <w:r w:rsidR="00905254">
              <w:rPr>
                <w:b/>
              </w:rPr>
              <w:t>ilişkin</w:t>
            </w:r>
            <w:r w:rsidR="001854AD">
              <w:rPr>
                <w:b/>
              </w:rPr>
              <w:t xml:space="preserve"> 1/5000 ölçekli nazım imar planı değişikliği ve 1/1000 ölçekli uygulama imar planı</w:t>
            </w:r>
            <w:r w:rsidR="00905254">
              <w:rPr>
                <w:b/>
              </w:rPr>
              <w:t xml:space="preserve"> teklif</w:t>
            </w:r>
            <w:r w:rsidR="001854AD">
              <w:rPr>
                <w:b/>
              </w:rPr>
              <w:t>i</w:t>
            </w: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3A197E" w:rsidP="001854A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</w:t>
            </w:r>
            <w:r w:rsidR="00CA6ACB">
              <w:rPr>
                <w:b/>
              </w:rPr>
              <w:t xml:space="preserve"> 9</w:t>
            </w:r>
            <w:r w:rsidR="001854AD">
              <w:rPr>
                <w:b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</w:t>
            </w:r>
            <w:proofErr w:type="gramStart"/>
            <w:r w:rsidRPr="003C59BB">
              <w:rPr>
                <w:b/>
              </w:rPr>
              <w:t>14:00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Pr="001854AD" w:rsidRDefault="005F5696" w:rsidP="007964EC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1854AD">
        <w:rPr>
          <w:rFonts w:ascii="Times New Roman" w:hAnsi="Times New Roman"/>
          <w:color w:val="auto"/>
          <w:sz w:val="24"/>
          <w:szCs w:val="24"/>
        </w:rPr>
        <w:t>RAPOR</w:t>
      </w:r>
    </w:p>
    <w:p w:rsidR="001854AD" w:rsidRDefault="001854AD" w:rsidP="001854AD">
      <w:pPr>
        <w:ind w:firstLine="708"/>
        <w:jc w:val="both"/>
      </w:pPr>
    </w:p>
    <w:p w:rsidR="001854AD" w:rsidRPr="00E95562" w:rsidRDefault="001854AD" w:rsidP="001854A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Tapunun Mersin ili, </w:t>
      </w:r>
      <w:r w:rsidRPr="00A730D4">
        <w:rPr>
          <w:sz w:val="24"/>
          <w:szCs w:val="24"/>
        </w:rPr>
        <w:t xml:space="preserve">Yenişehir İlçesi, </w:t>
      </w:r>
      <w:proofErr w:type="spellStart"/>
      <w:r w:rsidRPr="00A730D4">
        <w:rPr>
          <w:sz w:val="24"/>
          <w:szCs w:val="24"/>
        </w:rPr>
        <w:t>Kocavilayet</w:t>
      </w:r>
      <w:proofErr w:type="spellEnd"/>
      <w:r w:rsidRPr="00A730D4">
        <w:rPr>
          <w:sz w:val="24"/>
          <w:szCs w:val="24"/>
        </w:rPr>
        <w:t xml:space="preserve"> Mahallesi</w:t>
      </w:r>
      <w:r>
        <w:rPr>
          <w:sz w:val="24"/>
          <w:szCs w:val="24"/>
        </w:rPr>
        <w:t>nde kayıtlı</w:t>
      </w:r>
      <w:r w:rsidRPr="00A730D4">
        <w:rPr>
          <w:sz w:val="24"/>
          <w:szCs w:val="24"/>
        </w:rPr>
        <w:t>, 124, 125, 588, 602, 604 ve 1373</w:t>
      </w:r>
      <w:r>
        <w:rPr>
          <w:sz w:val="24"/>
          <w:szCs w:val="24"/>
        </w:rPr>
        <w:t xml:space="preserve">nolu parselleri kapsayan alana ilişkin </w:t>
      </w:r>
      <w:r w:rsidRPr="00A730D4">
        <w:rPr>
          <w:sz w:val="24"/>
          <w:szCs w:val="24"/>
        </w:rPr>
        <w:t>1/5000 ölçekli Nazım İmar Planı ve 1/1000 ölçekli Uygulama İmar Planı değişikliği teklifleri</w:t>
      </w:r>
      <w:r>
        <w:rPr>
          <w:sz w:val="24"/>
          <w:szCs w:val="24"/>
        </w:rPr>
        <w:t xml:space="preserve"> Mersin Büyükşehir Belediye Meclisi’nin </w:t>
      </w:r>
      <w:r w:rsidRPr="00E95562">
        <w:rPr>
          <w:bCs/>
          <w:sz w:val="24"/>
          <w:szCs w:val="24"/>
        </w:rPr>
        <w:t xml:space="preserve">12.10.2015 tarih ve 970 </w:t>
      </w:r>
      <w:r>
        <w:rPr>
          <w:bCs/>
          <w:sz w:val="24"/>
          <w:szCs w:val="24"/>
        </w:rPr>
        <w:t>s</w:t>
      </w:r>
      <w:r w:rsidRPr="00E95562">
        <w:rPr>
          <w:bCs/>
          <w:sz w:val="24"/>
          <w:szCs w:val="24"/>
        </w:rPr>
        <w:t xml:space="preserve">ayılı </w:t>
      </w:r>
      <w:r>
        <w:rPr>
          <w:bCs/>
          <w:sz w:val="24"/>
          <w:szCs w:val="24"/>
        </w:rPr>
        <w:t>a</w:t>
      </w:r>
      <w:r w:rsidRPr="00E95562">
        <w:rPr>
          <w:bCs/>
          <w:sz w:val="24"/>
          <w:szCs w:val="24"/>
        </w:rPr>
        <w:t xml:space="preserve">ra </w:t>
      </w:r>
      <w:r>
        <w:rPr>
          <w:bCs/>
          <w:sz w:val="24"/>
          <w:szCs w:val="24"/>
        </w:rPr>
        <w:t>k</w:t>
      </w:r>
      <w:r w:rsidRPr="00E95562">
        <w:rPr>
          <w:bCs/>
          <w:sz w:val="24"/>
          <w:szCs w:val="24"/>
        </w:rPr>
        <w:t xml:space="preserve">ararı ile İmar-Bayındırlık </w:t>
      </w:r>
      <w:r>
        <w:rPr>
          <w:bCs/>
          <w:sz w:val="24"/>
          <w:szCs w:val="24"/>
        </w:rPr>
        <w:t>v</w:t>
      </w:r>
      <w:r w:rsidRPr="00E95562">
        <w:rPr>
          <w:bCs/>
          <w:sz w:val="24"/>
          <w:szCs w:val="24"/>
        </w:rPr>
        <w:t xml:space="preserve">e Amatör Spora Destek komisyonlarına müştereken havale edilmiştir. </w:t>
      </w:r>
      <w:proofErr w:type="gramEnd"/>
    </w:p>
    <w:p w:rsidR="001854AD" w:rsidRPr="00E95562" w:rsidRDefault="001854AD" w:rsidP="00185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Söz konusu plan değişikliği teklifleri </w:t>
      </w:r>
      <w:proofErr w:type="gramStart"/>
      <w:r>
        <w:rPr>
          <w:sz w:val="24"/>
          <w:szCs w:val="24"/>
        </w:rPr>
        <w:t>ile;</w:t>
      </w:r>
      <w:r w:rsidRPr="00A730D4">
        <w:rPr>
          <w:sz w:val="24"/>
          <w:szCs w:val="24"/>
        </w:rPr>
        <w:t>Mersin</w:t>
      </w:r>
      <w:proofErr w:type="gramEnd"/>
      <w:r w:rsidRPr="00A730D4">
        <w:rPr>
          <w:sz w:val="24"/>
          <w:szCs w:val="24"/>
        </w:rPr>
        <w:t xml:space="preserve"> Valiliği Gençlik Hizmetleri ve Spor İl Müdürlüğü talebi doğrultusunda Mersin İli, Yenişehir İlçesi, </w:t>
      </w:r>
      <w:proofErr w:type="spellStart"/>
      <w:r w:rsidRPr="00A730D4">
        <w:rPr>
          <w:sz w:val="24"/>
          <w:szCs w:val="24"/>
        </w:rPr>
        <w:t>Kocavilayet</w:t>
      </w:r>
      <w:proofErr w:type="spellEnd"/>
      <w:r w:rsidRPr="00A730D4">
        <w:rPr>
          <w:sz w:val="24"/>
          <w:szCs w:val="24"/>
        </w:rPr>
        <w:t xml:space="preserve"> Mahallesi, 124, 125, 588, 602, 604 ve 1373 </w:t>
      </w:r>
      <w:proofErr w:type="spellStart"/>
      <w:r w:rsidRPr="00A730D4">
        <w:rPr>
          <w:sz w:val="24"/>
          <w:szCs w:val="24"/>
        </w:rPr>
        <w:t>nolu</w:t>
      </w:r>
      <w:proofErr w:type="spellEnd"/>
      <w:r w:rsidRPr="00A730D4">
        <w:rPr>
          <w:sz w:val="24"/>
          <w:szCs w:val="24"/>
        </w:rPr>
        <w:t xml:space="preserve"> parselleri kapsayan alanın “spor alanı” olarak planlanmasına yönelik idaremizce hazırlanan ve Mersin Büyükşehir Belediye Meclisi’nin 13.03.2015 tarih ve 275 sayılı kararı ile onaylanan 1/5000 ölçekli Nazım İmar Planı değişikliği ve 1/1000 ölçekli Uygulama İmar Planı’nda söz konusu alanın Orman Bölge Müdürlüğü’nce iletilen tahsis sınırına uygun olarak </w:t>
      </w:r>
      <w:r>
        <w:rPr>
          <w:sz w:val="24"/>
          <w:szCs w:val="24"/>
        </w:rPr>
        <w:t>değişiklik yapılmıştır.</w:t>
      </w:r>
    </w:p>
    <w:p w:rsidR="001854AD" w:rsidRDefault="001854AD" w:rsidP="001854AD">
      <w:pPr>
        <w:ind w:firstLine="567"/>
        <w:jc w:val="both"/>
        <w:rPr>
          <w:sz w:val="24"/>
          <w:szCs w:val="24"/>
        </w:rPr>
      </w:pPr>
      <w:r w:rsidRPr="00933AFE">
        <w:rPr>
          <w:bCs/>
          <w:sz w:val="24"/>
          <w:szCs w:val="24"/>
        </w:rPr>
        <w:t>Komisyonla</w:t>
      </w:r>
      <w:r>
        <w:rPr>
          <w:bCs/>
          <w:sz w:val="24"/>
          <w:szCs w:val="24"/>
        </w:rPr>
        <w:t xml:space="preserve">rımız tarafından dosya üzerinde yapılan incelemeler neticesinde; söz konusu </w:t>
      </w:r>
      <w:r w:rsidRPr="00A730D4">
        <w:rPr>
          <w:sz w:val="24"/>
          <w:szCs w:val="24"/>
        </w:rPr>
        <w:t>1/5000 ölçekli Nazım İmar Planı ve 1/1000 ölçekli Uygulama İmar Planı</w:t>
      </w:r>
      <w:r>
        <w:rPr>
          <w:sz w:val="24"/>
          <w:szCs w:val="24"/>
        </w:rPr>
        <w:t xml:space="preserve"> değişikliklerinin </w:t>
      </w:r>
      <w:r w:rsidRPr="004327C0">
        <w:rPr>
          <w:b/>
          <w:sz w:val="24"/>
          <w:szCs w:val="24"/>
        </w:rPr>
        <w:t>idareden geldiği şekli ile kabulüne</w:t>
      </w:r>
      <w:r>
        <w:rPr>
          <w:sz w:val="24"/>
          <w:szCs w:val="24"/>
        </w:rPr>
        <w:t xml:space="preserve"> komisyonlarımız tarafından karar verilmiştir.</w:t>
      </w:r>
    </w:p>
    <w:p w:rsidR="001854AD" w:rsidRDefault="001854AD" w:rsidP="001854AD">
      <w:pPr>
        <w:ind w:firstLine="567"/>
        <w:jc w:val="both"/>
        <w:rPr>
          <w:sz w:val="24"/>
          <w:szCs w:val="24"/>
        </w:rPr>
      </w:pPr>
    </w:p>
    <w:p w:rsidR="001854AD" w:rsidRDefault="001854AD" w:rsidP="001854AD">
      <w:pPr>
        <w:ind w:firstLine="567"/>
        <w:jc w:val="both"/>
        <w:rPr>
          <w:sz w:val="24"/>
          <w:szCs w:val="24"/>
        </w:rPr>
      </w:pPr>
    </w:p>
    <w:p w:rsidR="001854AD" w:rsidRDefault="001854AD" w:rsidP="001854AD">
      <w:pPr>
        <w:ind w:firstLine="567"/>
        <w:jc w:val="both"/>
        <w:rPr>
          <w:sz w:val="24"/>
          <w:szCs w:val="24"/>
        </w:rPr>
      </w:pPr>
    </w:p>
    <w:p w:rsidR="001854AD" w:rsidRDefault="001854AD" w:rsidP="001854AD">
      <w:pPr>
        <w:ind w:firstLine="567"/>
        <w:jc w:val="both"/>
        <w:rPr>
          <w:sz w:val="24"/>
          <w:szCs w:val="24"/>
        </w:rPr>
      </w:pPr>
    </w:p>
    <w:p w:rsidR="001854AD" w:rsidRDefault="001854AD" w:rsidP="001854AD">
      <w:pPr>
        <w:ind w:firstLine="567"/>
        <w:jc w:val="both"/>
        <w:rPr>
          <w:sz w:val="24"/>
          <w:szCs w:val="24"/>
        </w:rPr>
      </w:pPr>
    </w:p>
    <w:p w:rsidR="001854AD" w:rsidRDefault="001854AD" w:rsidP="001854AD">
      <w:pPr>
        <w:ind w:firstLine="567"/>
        <w:jc w:val="both"/>
        <w:rPr>
          <w:sz w:val="24"/>
          <w:szCs w:val="24"/>
        </w:rPr>
      </w:pPr>
    </w:p>
    <w:p w:rsidR="001854AD" w:rsidRDefault="001854AD" w:rsidP="001854AD">
      <w:pPr>
        <w:ind w:firstLine="567"/>
        <w:jc w:val="both"/>
        <w:rPr>
          <w:sz w:val="24"/>
          <w:szCs w:val="24"/>
        </w:rPr>
      </w:pPr>
    </w:p>
    <w:p w:rsidR="001854AD" w:rsidRDefault="001854AD" w:rsidP="007E2567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C675A9" w:rsidRDefault="00C675A9" w:rsidP="00C675A9">
      <w:pPr>
        <w:jc w:val="both"/>
        <w:rPr>
          <w:bCs/>
        </w:rPr>
      </w:pPr>
      <w:r>
        <w:rPr>
          <w:b/>
        </w:rPr>
        <w:t>AMATÖR SPORA DESTEK KOMİSYONU ÜYELERİNİN ADI SOYADI VE İMZASI</w:t>
      </w:r>
    </w:p>
    <w:tbl>
      <w:tblPr>
        <w:tblW w:w="9322" w:type="dxa"/>
        <w:tblLook w:val="04A0"/>
      </w:tblPr>
      <w:tblGrid>
        <w:gridCol w:w="2375"/>
        <w:gridCol w:w="694"/>
        <w:gridCol w:w="1716"/>
        <w:gridCol w:w="1355"/>
        <w:gridCol w:w="915"/>
        <w:gridCol w:w="2267"/>
      </w:tblGrid>
      <w:tr w:rsidR="00C675A9" w:rsidTr="00C675A9">
        <w:tc>
          <w:tcPr>
            <w:tcW w:w="2376" w:type="dxa"/>
            <w:hideMark/>
          </w:tcPr>
          <w:p w:rsidR="00C675A9" w:rsidRDefault="00C675A9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1.5pt;margin-top:.6pt;width:466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GJwIAAEk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" strokeweight="1.5pt"/>
              </w:pict>
            </w:r>
            <w:r>
              <w:rPr>
                <w:rFonts w:eastAsia="Calibri"/>
                <w:b/>
              </w:rPr>
              <w:t>KOMİSYON BAŞKANI</w:t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Mehmet GÜNEY</w:t>
            </w:r>
          </w:p>
        </w:tc>
        <w:tc>
          <w:tcPr>
            <w:tcW w:w="2410" w:type="dxa"/>
            <w:gridSpan w:val="2"/>
            <w:hideMark/>
          </w:tcPr>
          <w:p w:rsidR="00C675A9" w:rsidRDefault="00C675A9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KOMİSYON BŞK V.</w:t>
            </w:r>
            <w:r>
              <w:rPr>
                <w:rFonts w:eastAsia="Calibri"/>
                <w:b/>
              </w:rPr>
              <w:tab/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Mehmet YABALAK</w:t>
            </w:r>
          </w:p>
        </w:tc>
        <w:tc>
          <w:tcPr>
            <w:tcW w:w="2268" w:type="dxa"/>
            <w:gridSpan w:val="2"/>
            <w:hideMark/>
          </w:tcPr>
          <w:p w:rsidR="00C675A9" w:rsidRDefault="00C675A9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ÜYE</w:t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Talip KARA</w:t>
            </w:r>
          </w:p>
        </w:tc>
        <w:tc>
          <w:tcPr>
            <w:tcW w:w="2268" w:type="dxa"/>
          </w:tcPr>
          <w:p w:rsidR="00C675A9" w:rsidRDefault="00C675A9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ÜYE</w:t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Lokman EREN </w:t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C675A9" w:rsidTr="00C675A9">
        <w:trPr>
          <w:trHeight w:val="70"/>
        </w:trPr>
        <w:tc>
          <w:tcPr>
            <w:tcW w:w="3070" w:type="dxa"/>
            <w:gridSpan w:val="2"/>
            <w:hideMark/>
          </w:tcPr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ÜYE</w:t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Raci</w:t>
            </w:r>
            <w:proofErr w:type="spellEnd"/>
            <w:r>
              <w:rPr>
                <w:rFonts w:eastAsia="Calibri"/>
                <w:b/>
              </w:rPr>
              <w:t xml:space="preserve"> AYDIN</w:t>
            </w:r>
          </w:p>
        </w:tc>
        <w:tc>
          <w:tcPr>
            <w:tcW w:w="3071" w:type="dxa"/>
            <w:gridSpan w:val="2"/>
            <w:hideMark/>
          </w:tcPr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ÜYE</w:t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Mehmet Özgür SANAL</w:t>
            </w:r>
          </w:p>
        </w:tc>
        <w:tc>
          <w:tcPr>
            <w:tcW w:w="3181" w:type="dxa"/>
            <w:gridSpan w:val="2"/>
            <w:hideMark/>
          </w:tcPr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ÜYE</w:t>
            </w:r>
          </w:p>
          <w:p w:rsidR="00C675A9" w:rsidRDefault="00C675A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Yusuf ÖZAYDIN</w:t>
            </w:r>
          </w:p>
        </w:tc>
      </w:tr>
      <w:tr w:rsidR="00C675A9" w:rsidTr="00C675A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5A9" w:rsidRDefault="00C675A9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5A9" w:rsidRDefault="00C675A9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5A9" w:rsidRDefault="00C675A9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5A9" w:rsidRDefault="00C675A9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5A9" w:rsidRDefault="00C675A9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5A9" w:rsidRDefault="00C675A9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C675A9" w:rsidRDefault="00C675A9" w:rsidP="00C675A9">
      <w:pPr>
        <w:pStyle w:val="Altbilgi"/>
      </w:pPr>
    </w:p>
    <w:p w:rsidR="00C675A9" w:rsidRDefault="00C675A9" w:rsidP="00C675A9">
      <w:pPr>
        <w:ind w:firstLine="708"/>
        <w:jc w:val="both"/>
      </w:pPr>
    </w:p>
    <w:p w:rsidR="00F57EC3" w:rsidRDefault="00F57EC3" w:rsidP="007E2567">
      <w:pPr>
        <w:ind w:firstLine="708"/>
        <w:jc w:val="both"/>
        <w:rPr>
          <w:sz w:val="24"/>
          <w:szCs w:val="24"/>
        </w:rPr>
      </w:pPr>
    </w:p>
    <w:sectPr w:rsidR="00F57EC3" w:rsidSect="00D66A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FB" w:rsidRDefault="00FF48FB" w:rsidP="005F5696">
      <w:r>
        <w:separator/>
      </w:r>
    </w:p>
  </w:endnote>
  <w:endnote w:type="continuationSeparator" w:id="1">
    <w:p w:rsidR="00FF48FB" w:rsidRDefault="00FF48FB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940307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FB" w:rsidRDefault="00FF48FB" w:rsidP="005F5696">
      <w:r>
        <w:separator/>
      </w:r>
    </w:p>
  </w:footnote>
  <w:footnote w:type="continuationSeparator" w:id="1">
    <w:p w:rsidR="00FF48FB" w:rsidRDefault="00FF48FB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31E3F"/>
    <w:rsid w:val="000412DC"/>
    <w:rsid w:val="00046CF4"/>
    <w:rsid w:val="00057E32"/>
    <w:rsid w:val="00091250"/>
    <w:rsid w:val="0009585B"/>
    <w:rsid w:val="000C303A"/>
    <w:rsid w:val="000C4262"/>
    <w:rsid w:val="000E325E"/>
    <w:rsid w:val="00116790"/>
    <w:rsid w:val="0011687C"/>
    <w:rsid w:val="00124E98"/>
    <w:rsid w:val="001854AD"/>
    <w:rsid w:val="001E5D86"/>
    <w:rsid w:val="00223DD2"/>
    <w:rsid w:val="00264A81"/>
    <w:rsid w:val="002D0EBF"/>
    <w:rsid w:val="003025ED"/>
    <w:rsid w:val="00304979"/>
    <w:rsid w:val="003054C9"/>
    <w:rsid w:val="003A197E"/>
    <w:rsid w:val="003A20C0"/>
    <w:rsid w:val="003C6C72"/>
    <w:rsid w:val="004E496B"/>
    <w:rsid w:val="005B1B3D"/>
    <w:rsid w:val="005F5696"/>
    <w:rsid w:val="00615367"/>
    <w:rsid w:val="0064284E"/>
    <w:rsid w:val="00653DC5"/>
    <w:rsid w:val="006F2E29"/>
    <w:rsid w:val="006F6C19"/>
    <w:rsid w:val="00712749"/>
    <w:rsid w:val="007964EC"/>
    <w:rsid w:val="007A3320"/>
    <w:rsid w:val="007C6E67"/>
    <w:rsid w:val="007E18FF"/>
    <w:rsid w:val="007E2567"/>
    <w:rsid w:val="00807315"/>
    <w:rsid w:val="00854DAD"/>
    <w:rsid w:val="00872C89"/>
    <w:rsid w:val="008902ED"/>
    <w:rsid w:val="008A327C"/>
    <w:rsid w:val="008C135E"/>
    <w:rsid w:val="00905254"/>
    <w:rsid w:val="00921955"/>
    <w:rsid w:val="00921C84"/>
    <w:rsid w:val="00931191"/>
    <w:rsid w:val="00940307"/>
    <w:rsid w:val="0097710C"/>
    <w:rsid w:val="00A30592"/>
    <w:rsid w:val="00A739E4"/>
    <w:rsid w:val="00AD4DEE"/>
    <w:rsid w:val="00AF287F"/>
    <w:rsid w:val="00B017B5"/>
    <w:rsid w:val="00B22884"/>
    <w:rsid w:val="00B42D7F"/>
    <w:rsid w:val="00C675A9"/>
    <w:rsid w:val="00CA6ACB"/>
    <w:rsid w:val="00CC00B1"/>
    <w:rsid w:val="00CE54F1"/>
    <w:rsid w:val="00D20E2A"/>
    <w:rsid w:val="00D23C76"/>
    <w:rsid w:val="00D31E3F"/>
    <w:rsid w:val="00D420FB"/>
    <w:rsid w:val="00D63A52"/>
    <w:rsid w:val="00D66A96"/>
    <w:rsid w:val="00D86EBC"/>
    <w:rsid w:val="00D903D9"/>
    <w:rsid w:val="00D95B06"/>
    <w:rsid w:val="00DB4D1A"/>
    <w:rsid w:val="00DE2536"/>
    <w:rsid w:val="00E525E4"/>
    <w:rsid w:val="00E672ED"/>
    <w:rsid w:val="00E83FF3"/>
    <w:rsid w:val="00F350CD"/>
    <w:rsid w:val="00F57EC3"/>
    <w:rsid w:val="00F721FA"/>
    <w:rsid w:val="00F764E5"/>
    <w:rsid w:val="00FC79F0"/>
    <w:rsid w:val="00FD1ABE"/>
    <w:rsid w:val="00FE62AF"/>
    <w:rsid w:val="00FF48FB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2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2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Imar_1</dc:creator>
  <cp:lastModifiedBy>User</cp:lastModifiedBy>
  <cp:revision>3</cp:revision>
  <cp:lastPrinted>2015-10-01T06:10:00Z</cp:lastPrinted>
  <dcterms:created xsi:type="dcterms:W3CDTF">2015-10-14T10:15:00Z</dcterms:created>
  <dcterms:modified xsi:type="dcterms:W3CDTF">2015-10-14T10:20:00Z</dcterms:modified>
</cp:coreProperties>
</file>